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91" w:rsidRDefault="00CF6F91" w:rsidP="00CF6F91">
      <w:r>
        <w:rPr>
          <w:noProof/>
          <w:lang w:eastAsia="fr-FR"/>
        </w:rPr>
        <w:drawing>
          <wp:inline distT="0" distB="0" distL="0" distR="0">
            <wp:extent cx="758190" cy="746760"/>
            <wp:effectExtent l="0" t="0" r="3810" b="0"/>
            <wp:docPr id="2" name="Image 2" descr="NAPPP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PP FINAL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190" cy="746760"/>
                    </a:xfrm>
                    <a:prstGeom prst="rect">
                      <a:avLst/>
                    </a:prstGeom>
                    <a:noFill/>
                    <a:ln>
                      <a:noFill/>
                    </a:ln>
                  </pic:spPr>
                </pic:pic>
              </a:graphicData>
            </a:graphic>
          </wp:inline>
        </w:drawing>
      </w:r>
    </w:p>
    <w:p w:rsidR="00CF6F91" w:rsidRDefault="00CF6F91" w:rsidP="00CF6F91">
      <w:pPr>
        <w:rPr>
          <w:rFonts w:ascii="Arial Black" w:hAnsi="Arial Black"/>
          <w:b/>
          <w:bCs/>
          <w:sz w:val="14"/>
          <w:szCs w:val="14"/>
          <w:u w:val="single"/>
        </w:rPr>
      </w:pPr>
      <w:r w:rsidRPr="002C48B7">
        <w:rPr>
          <w:rFonts w:ascii="Arial Black" w:hAnsi="Arial Black"/>
          <w:b/>
          <w:bCs/>
          <w:sz w:val="14"/>
          <w:szCs w:val="14"/>
          <w:u w:val="single"/>
        </w:rPr>
        <w:t xml:space="preserve">Syndicat National Des Agents de Protection Physique de Personnes </w:t>
      </w:r>
    </w:p>
    <w:p w:rsidR="00CF6F91" w:rsidRDefault="00CF6F91" w:rsidP="00CF6F91">
      <w:pPr>
        <w:rPr>
          <w:rFonts w:ascii="Arial Black" w:hAnsi="Arial Black"/>
          <w:b/>
          <w:bCs/>
          <w:sz w:val="14"/>
          <w:szCs w:val="14"/>
          <w:u w:val="single"/>
        </w:rPr>
      </w:pPr>
    </w:p>
    <w:p w:rsidR="00CF6F91" w:rsidRDefault="00CF6F91" w:rsidP="00CF6F91">
      <w:pPr>
        <w:rPr>
          <w:rFonts w:ascii="Arial Black" w:hAnsi="Arial Black"/>
          <w:b/>
          <w:bCs/>
          <w:sz w:val="14"/>
          <w:szCs w:val="14"/>
          <w:u w:val="single"/>
        </w:rPr>
      </w:pPr>
    </w:p>
    <w:p w:rsidR="00CF6F91" w:rsidRPr="00CF6F91" w:rsidRDefault="00CF6F91" w:rsidP="00CF6F91">
      <w:pPr>
        <w:jc w:val="center"/>
        <w:rPr>
          <w:rFonts w:cstheme="minorHAnsi"/>
          <w:b/>
          <w:bCs/>
          <w:sz w:val="28"/>
          <w:szCs w:val="28"/>
        </w:rPr>
      </w:pPr>
      <w:r w:rsidRPr="00CF6F91">
        <w:rPr>
          <w:rFonts w:cstheme="minorHAnsi"/>
          <w:b/>
          <w:bCs/>
          <w:sz w:val="28"/>
          <w:szCs w:val="28"/>
        </w:rPr>
        <w:t>Nouvelle Règlementation CANSP</w:t>
      </w:r>
    </w:p>
    <w:p w:rsidR="00CF6F91" w:rsidRDefault="00CF6F91" w:rsidP="00CF6F91">
      <w:pPr>
        <w:shd w:val="clear" w:color="auto" w:fill="FFFFFF"/>
        <w:spacing w:after="84" w:line="240" w:lineRule="auto"/>
        <w:outlineLvl w:val="0"/>
        <w:rPr>
          <w:rFonts w:eastAsia="Times New Roman" w:cstheme="minorHAnsi"/>
          <w:b/>
          <w:bCs/>
          <w:color w:val="4B6A89"/>
          <w:kern w:val="36"/>
          <w:sz w:val="28"/>
          <w:szCs w:val="28"/>
          <w:u w:val="single"/>
          <w:lang w:eastAsia="fr-FR"/>
        </w:rPr>
      </w:pPr>
    </w:p>
    <w:p w:rsidR="00CF6F91" w:rsidRDefault="00CF6F91" w:rsidP="00CF6F91">
      <w:pPr>
        <w:shd w:val="clear" w:color="auto" w:fill="FFFFFF"/>
        <w:spacing w:after="84" w:line="240" w:lineRule="auto"/>
        <w:outlineLvl w:val="0"/>
        <w:rPr>
          <w:rFonts w:eastAsia="Times New Roman" w:cstheme="minorHAnsi"/>
          <w:b/>
          <w:bCs/>
          <w:color w:val="4B6A89"/>
          <w:kern w:val="36"/>
          <w:sz w:val="28"/>
          <w:szCs w:val="28"/>
          <w:u w:val="single"/>
          <w:lang w:eastAsia="fr-FR"/>
        </w:rPr>
      </w:pPr>
      <w:r w:rsidRPr="00CF6F91">
        <w:rPr>
          <w:rFonts w:eastAsia="Times New Roman" w:cstheme="minorHAnsi"/>
          <w:b/>
          <w:bCs/>
          <w:color w:val="4B6A89"/>
          <w:kern w:val="36"/>
          <w:sz w:val="28"/>
          <w:szCs w:val="28"/>
          <w:u w:val="single"/>
          <w:lang w:eastAsia="fr-FR"/>
        </w:rPr>
        <w:t>L'armement de la sécurité privée</w:t>
      </w:r>
    </w:p>
    <w:p w:rsidR="00CF6F91" w:rsidRPr="00CF6F91" w:rsidRDefault="00CF6F91" w:rsidP="00CF6F91">
      <w:pPr>
        <w:shd w:val="clear" w:color="auto" w:fill="FFFFFF"/>
        <w:spacing w:after="84" w:line="240" w:lineRule="auto"/>
        <w:outlineLvl w:val="0"/>
        <w:rPr>
          <w:rFonts w:eastAsia="Times New Roman" w:cstheme="minorHAnsi"/>
          <w:b/>
          <w:bCs/>
          <w:color w:val="4B6A89"/>
          <w:kern w:val="36"/>
          <w:sz w:val="28"/>
          <w:szCs w:val="28"/>
          <w:u w:val="single"/>
          <w:lang w:eastAsia="fr-FR"/>
        </w:rPr>
      </w:pPr>
    </w:p>
    <w:p w:rsidR="007D1909" w:rsidRPr="00CF6F91" w:rsidRDefault="00CF6F91">
      <w:pPr>
        <w:rPr>
          <w:rFonts w:cstheme="minorHAnsi"/>
          <w:color w:val="4B6A89"/>
          <w:shd w:val="clear" w:color="auto" w:fill="FFFFFF"/>
        </w:rPr>
      </w:pPr>
      <w:r w:rsidRPr="00CF6F91">
        <w:rPr>
          <w:rFonts w:cstheme="minorHAnsi"/>
          <w:color w:val="4B6A89"/>
          <w:shd w:val="clear" w:color="auto" w:fill="FFFFFF"/>
        </w:rPr>
        <w:t>La loi n° 2017-158 du 28 février 2017 relative à la sécurité publique ainsi que le décret n° 2017-1844 du 29 décembre 2017 définissent le cadre législatif de l’accès à une activité de surveillance armée et de l’exercice d’une mission armée.</w:t>
      </w:r>
    </w:p>
    <w:p w:rsidR="00CF6F91" w:rsidRPr="00CF6F91" w:rsidRDefault="00CF6F91" w:rsidP="00CF6F91">
      <w:pPr>
        <w:pStyle w:val="Titre2"/>
        <w:shd w:val="clear" w:color="auto" w:fill="FFFFFF"/>
        <w:spacing w:before="384" w:after="180"/>
        <w:rPr>
          <w:rFonts w:asciiTheme="minorHAnsi" w:hAnsiTheme="minorHAnsi" w:cstheme="minorHAnsi"/>
          <w:color w:val="4B6A89"/>
          <w:sz w:val="28"/>
          <w:szCs w:val="28"/>
        </w:rPr>
      </w:pPr>
      <w:r w:rsidRPr="00CF6F91">
        <w:rPr>
          <w:rFonts w:asciiTheme="minorHAnsi" w:hAnsiTheme="minorHAnsi" w:cstheme="minorHAnsi"/>
          <w:b/>
          <w:bCs/>
          <w:color w:val="4B6A89"/>
          <w:sz w:val="28"/>
          <w:szCs w:val="28"/>
        </w:rPr>
        <w:t>Les conditions d’exercice des sociétés de sécurité privée armée</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Les entreprises de surveillance humaine et de protection physique des personnes peuvent proposer des prestations armées impliquant l’usage d’armes de catégorie B et D (1° bis du L. 611-1). Etant strictement soumises au principe d’exclusivité, elles doivent créer une structure dédiée à cette activité, obtenir une autorisation d’exercice délivrée par le </w:t>
      </w:r>
      <w:hyperlink r:id="rId6" w:history="1">
        <w:r w:rsidRPr="00CF6F91">
          <w:rPr>
            <w:rStyle w:val="Lienhypertexte"/>
            <w:rFonts w:asciiTheme="minorHAnsi" w:hAnsiTheme="minorHAnsi" w:cstheme="minorHAnsi"/>
            <w:color w:val="2F2E2C"/>
            <w:sz w:val="20"/>
            <w:szCs w:val="20"/>
          </w:rPr>
          <w:t>CNAPS</w:t>
        </w:r>
      </w:hyperlink>
      <w:r w:rsidRPr="00CF6F91">
        <w:rPr>
          <w:rFonts w:asciiTheme="minorHAnsi" w:hAnsiTheme="minorHAnsi" w:cstheme="minorHAnsi"/>
          <w:color w:val="2F2E2C"/>
          <w:sz w:val="20"/>
          <w:szCs w:val="20"/>
        </w:rPr>
        <w:t> et une autorisation de mission délivrée par la préfecture compétente.</w:t>
      </w:r>
    </w:p>
    <w:p w:rsidR="00CF6F91" w:rsidRPr="00CF6F91" w:rsidRDefault="00CF6F91" w:rsidP="00CF6F91">
      <w:pPr>
        <w:shd w:val="clear" w:color="auto" w:fill="F2F1F0"/>
        <w:spacing w:after="319"/>
        <w:jc w:val="center"/>
        <w:textAlignment w:val="top"/>
        <w:rPr>
          <w:rFonts w:cstheme="minorHAnsi"/>
          <w:color w:val="2F2E2C"/>
          <w:sz w:val="24"/>
          <w:szCs w:val="24"/>
        </w:rPr>
      </w:pPr>
      <w:r w:rsidRPr="00CF6F91">
        <w:rPr>
          <w:rFonts w:cstheme="minorHAnsi"/>
          <w:color w:val="2F2E2C"/>
        </w:rPr>
        <w:t>L’autorisation d’exercice délivrée par le </w:t>
      </w:r>
      <w:hyperlink r:id="rId7" w:history="1">
        <w:r w:rsidRPr="00CF6F91">
          <w:rPr>
            <w:rStyle w:val="Lienhypertexte"/>
            <w:rFonts w:cstheme="minorHAnsi"/>
            <w:color w:val="2F2E2C"/>
          </w:rPr>
          <w:t>CNAPS</w:t>
        </w:r>
      </w:hyperlink>
      <w:r w:rsidRPr="00CF6F91">
        <w:rPr>
          <w:rFonts w:cstheme="minorHAnsi"/>
          <w:color w:val="2F2E2C"/>
        </w:rPr>
        <w:t> ne permet pas de proposer des prestations de sécurité armée. Elle doit être complétée par une autorisation préfectorale délivrée dans des conditions strictes.</w:t>
      </w:r>
    </w:p>
    <w:p w:rsidR="00CF6F91" w:rsidRDefault="00CF6F91" w:rsidP="00CF6F91">
      <w:pPr>
        <w:pStyle w:val="NormalWeb"/>
        <w:shd w:val="clear" w:color="auto" w:fill="FFFFFF"/>
        <w:spacing w:before="0" w:beforeAutospacing="0" w:after="319" w:afterAutospacing="0"/>
        <w:rPr>
          <w:rFonts w:ascii="Arial" w:hAnsi="Arial" w:cs="Arial"/>
          <w:color w:val="2F2E2C"/>
          <w:sz w:val="27"/>
          <w:szCs w:val="27"/>
        </w:rPr>
      </w:pPr>
      <w:r>
        <w:rPr>
          <w:rFonts w:ascii="Arial" w:hAnsi="Arial" w:cs="Arial"/>
          <w:b/>
          <w:bCs/>
          <w:color w:val="2F2E2C"/>
          <w:sz w:val="27"/>
          <w:szCs w:val="27"/>
        </w:rPr>
        <w:t>                </w:t>
      </w:r>
    </w:p>
    <w:p w:rsidR="00CF6F91" w:rsidRPr="00CF6F91" w:rsidRDefault="00CF6F91" w:rsidP="00CF6F91">
      <w:pPr>
        <w:pStyle w:val="Titre2"/>
        <w:shd w:val="clear" w:color="auto" w:fill="FFFFFF"/>
        <w:spacing w:before="384" w:after="180"/>
        <w:rPr>
          <w:rFonts w:asciiTheme="minorHAnsi" w:hAnsiTheme="minorHAnsi" w:cstheme="minorHAnsi"/>
          <w:color w:val="4B6A89"/>
          <w:sz w:val="28"/>
          <w:szCs w:val="28"/>
        </w:rPr>
      </w:pPr>
      <w:bookmarkStart w:id="0" w:name="eztoc34060_2"/>
      <w:bookmarkEnd w:id="0"/>
      <w:r w:rsidRPr="00CF6F91">
        <w:rPr>
          <w:rFonts w:asciiTheme="minorHAnsi" w:hAnsiTheme="minorHAnsi" w:cstheme="minorHAnsi"/>
          <w:b/>
          <w:bCs/>
          <w:color w:val="4B6A89"/>
          <w:sz w:val="28"/>
          <w:szCs w:val="28"/>
        </w:rPr>
        <w:t>Les agents concernés par le port d’arme</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Les agents de surveillance humaine ainsi que les agents de protection physique des personnes pourront utiliser des armes de catégorie B et/ou D dans le cadre de missions autorisées par l’autorité administrative compétente (le préfet pour la surveillance et le gardiennage, le ministre de l’Intérieur pour la protection physique des personnes) et justifiées par l’existence d’un risque exceptionnel.</w:t>
      </w:r>
    </w:p>
    <w:p w:rsidR="00CF6F91" w:rsidRPr="00CF6F91" w:rsidRDefault="00CF6F91" w:rsidP="00CF6F91">
      <w:pPr>
        <w:shd w:val="clear" w:color="auto" w:fill="F2F1F0"/>
        <w:spacing w:after="319"/>
        <w:jc w:val="center"/>
        <w:textAlignment w:val="top"/>
        <w:rPr>
          <w:rFonts w:cstheme="minorHAnsi"/>
          <w:color w:val="2F2E2C"/>
          <w:sz w:val="20"/>
          <w:szCs w:val="20"/>
        </w:rPr>
      </w:pPr>
      <w:r w:rsidRPr="00CF6F91">
        <w:rPr>
          <w:rFonts w:cstheme="minorHAnsi"/>
          <w:color w:val="2F2E2C"/>
          <w:sz w:val="20"/>
          <w:szCs w:val="20"/>
        </w:rPr>
        <w:t>La seule obtention d’une carte professionnelle ne permet donc pas d’exercer une activité de gardiennage ou de protection physique avec le port d’une arme.</w:t>
      </w:r>
    </w:p>
    <w:p w:rsidR="00CF6F91" w:rsidRPr="00CF6F91" w:rsidRDefault="00CF6F91" w:rsidP="00CF6F91">
      <w:pPr>
        <w:shd w:val="clear" w:color="auto" w:fill="F2F1F0"/>
        <w:spacing w:after="319"/>
        <w:jc w:val="center"/>
        <w:textAlignment w:val="top"/>
        <w:rPr>
          <w:rFonts w:cstheme="minorHAnsi"/>
          <w:color w:val="2F2E2C"/>
          <w:sz w:val="20"/>
          <w:szCs w:val="20"/>
        </w:rPr>
      </w:pPr>
      <w:r w:rsidRPr="00CF6F91">
        <w:rPr>
          <w:rFonts w:cstheme="minorHAnsi"/>
          <w:b/>
          <w:bCs/>
          <w:color w:val="2F2E2C"/>
          <w:sz w:val="20"/>
          <w:szCs w:val="20"/>
        </w:rPr>
        <w:t xml:space="preserve">ATTENTION </w:t>
      </w:r>
      <w:proofErr w:type="gramStart"/>
      <w:r w:rsidRPr="00CF6F91">
        <w:rPr>
          <w:rFonts w:cstheme="minorHAnsi"/>
          <w:b/>
          <w:bCs/>
          <w:color w:val="2F2E2C"/>
          <w:sz w:val="20"/>
          <w:szCs w:val="20"/>
        </w:rPr>
        <w:t>!!!</w:t>
      </w:r>
      <w:proofErr w:type="gramEnd"/>
      <w:r w:rsidRPr="00CF6F91">
        <w:rPr>
          <w:rFonts w:cstheme="minorHAnsi"/>
          <w:color w:val="2F2E2C"/>
          <w:sz w:val="20"/>
          <w:szCs w:val="20"/>
        </w:rPr>
        <w:t> </w:t>
      </w:r>
    </w:p>
    <w:p w:rsidR="00CF6F91" w:rsidRPr="00CF6F91" w:rsidRDefault="00CF6F91" w:rsidP="00CF6F91">
      <w:pPr>
        <w:shd w:val="clear" w:color="auto" w:fill="F2F1F0"/>
        <w:spacing w:after="319"/>
        <w:jc w:val="center"/>
        <w:textAlignment w:val="top"/>
        <w:rPr>
          <w:rFonts w:cstheme="minorHAnsi"/>
          <w:color w:val="2F2E2C"/>
          <w:sz w:val="20"/>
          <w:szCs w:val="20"/>
        </w:rPr>
      </w:pPr>
      <w:r w:rsidRPr="00CF6F91">
        <w:rPr>
          <w:rFonts w:cstheme="minorHAnsi"/>
          <w:color w:val="2F2E2C"/>
          <w:sz w:val="20"/>
          <w:szCs w:val="20"/>
        </w:rPr>
        <w:t>AUCUNE équivalence n’est prévue pour les activités de surveillance humaine et de protection physique des personnes avec le port d’une arme.</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          </w:t>
      </w:r>
    </w:p>
    <w:p w:rsidR="00CF6F91" w:rsidRPr="00CF6F91" w:rsidRDefault="00CF6F91" w:rsidP="00CF6F91">
      <w:pPr>
        <w:pStyle w:val="Titre2"/>
        <w:shd w:val="clear" w:color="auto" w:fill="FFFFFF"/>
        <w:spacing w:before="384" w:after="180"/>
        <w:rPr>
          <w:rFonts w:asciiTheme="minorHAnsi" w:hAnsiTheme="minorHAnsi" w:cstheme="minorHAnsi"/>
          <w:color w:val="4B6A89"/>
          <w:sz w:val="28"/>
          <w:szCs w:val="28"/>
        </w:rPr>
      </w:pPr>
      <w:bookmarkStart w:id="1" w:name="eztoc34060_3"/>
      <w:bookmarkEnd w:id="1"/>
      <w:r w:rsidRPr="00CF6F91">
        <w:rPr>
          <w:rFonts w:asciiTheme="minorHAnsi" w:hAnsiTheme="minorHAnsi" w:cstheme="minorHAnsi"/>
          <w:b/>
          <w:bCs/>
          <w:color w:val="4B6A89"/>
          <w:sz w:val="28"/>
          <w:szCs w:val="28"/>
        </w:rPr>
        <w:lastRenderedPageBreak/>
        <w:t>Une formation initiale spécifique</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La formation à l’armement est, comme toutes les formations initiales de la sécurité privée, sanctionnée par un examen et par la délivrance d’une certification professionnelle.</w:t>
      </w:r>
    </w:p>
    <w:p w:rsidR="00CF6F91" w:rsidRPr="00CF6F91" w:rsidRDefault="00CF6F91" w:rsidP="00CF6F91">
      <w:pPr>
        <w:numPr>
          <w:ilvl w:val="0"/>
          <w:numId w:val="1"/>
        </w:numPr>
        <w:shd w:val="clear" w:color="auto" w:fill="FFFFFF"/>
        <w:spacing w:before="100" w:beforeAutospacing="1" w:after="100" w:afterAutospacing="1" w:line="240" w:lineRule="auto"/>
        <w:rPr>
          <w:rFonts w:cstheme="minorHAnsi"/>
          <w:color w:val="2F2E2C"/>
          <w:sz w:val="20"/>
          <w:szCs w:val="20"/>
        </w:rPr>
      </w:pPr>
      <w:r w:rsidRPr="00CF6F91">
        <w:rPr>
          <w:rFonts w:cstheme="minorHAnsi"/>
          <w:color w:val="2F2E2C"/>
          <w:sz w:val="20"/>
          <w:szCs w:val="20"/>
        </w:rPr>
        <w:t>La formation au maniement des armes de catégorie D, pour les agents de surveillance humaine, est de </w:t>
      </w:r>
      <w:r w:rsidRPr="00CF6F91">
        <w:rPr>
          <w:rFonts w:cstheme="minorHAnsi"/>
          <w:b/>
          <w:bCs/>
          <w:color w:val="2F2E2C"/>
          <w:sz w:val="20"/>
          <w:szCs w:val="20"/>
        </w:rPr>
        <w:t>71h</w:t>
      </w:r>
      <w:r w:rsidRPr="00CF6F91">
        <w:rPr>
          <w:rFonts w:cstheme="minorHAnsi"/>
          <w:color w:val="2F2E2C"/>
          <w:sz w:val="20"/>
          <w:szCs w:val="20"/>
        </w:rPr>
        <w:t>.</w:t>
      </w:r>
    </w:p>
    <w:p w:rsidR="00CF6F91" w:rsidRPr="00CF6F91" w:rsidRDefault="00CF6F91" w:rsidP="00CF6F91">
      <w:pPr>
        <w:numPr>
          <w:ilvl w:val="0"/>
          <w:numId w:val="1"/>
        </w:numPr>
        <w:shd w:val="clear" w:color="auto" w:fill="FFFFFF"/>
        <w:spacing w:before="100" w:beforeAutospacing="1" w:after="100" w:afterAutospacing="1" w:line="240" w:lineRule="auto"/>
        <w:rPr>
          <w:rFonts w:cstheme="minorHAnsi"/>
          <w:color w:val="2F2E2C"/>
          <w:sz w:val="20"/>
          <w:szCs w:val="20"/>
        </w:rPr>
      </w:pPr>
      <w:r w:rsidRPr="00CF6F91">
        <w:rPr>
          <w:rFonts w:cstheme="minorHAnsi"/>
          <w:color w:val="2F2E2C"/>
          <w:sz w:val="20"/>
          <w:szCs w:val="20"/>
        </w:rPr>
        <w:t>La formation au maniement des armes des catégories B et D, pour les agents de surveillance humaine, est de </w:t>
      </w:r>
      <w:r w:rsidRPr="00CF6F91">
        <w:rPr>
          <w:rFonts w:cstheme="minorHAnsi"/>
          <w:b/>
          <w:bCs/>
          <w:color w:val="2F2E2C"/>
          <w:sz w:val="20"/>
          <w:szCs w:val="20"/>
        </w:rPr>
        <w:t>139h</w:t>
      </w:r>
      <w:r w:rsidRPr="00CF6F91">
        <w:rPr>
          <w:rFonts w:cstheme="minorHAnsi"/>
          <w:color w:val="2F2E2C"/>
          <w:sz w:val="20"/>
          <w:szCs w:val="20"/>
        </w:rPr>
        <w:t>.</w:t>
      </w:r>
    </w:p>
    <w:p w:rsidR="00CF6F91" w:rsidRPr="00CF6F91" w:rsidRDefault="00CF6F91" w:rsidP="00CF6F91">
      <w:pPr>
        <w:numPr>
          <w:ilvl w:val="0"/>
          <w:numId w:val="1"/>
        </w:numPr>
        <w:shd w:val="clear" w:color="auto" w:fill="FFFFFF"/>
        <w:spacing w:before="100" w:beforeAutospacing="1" w:after="100" w:afterAutospacing="1" w:line="240" w:lineRule="auto"/>
        <w:rPr>
          <w:rFonts w:cstheme="minorHAnsi"/>
          <w:color w:val="2F2E2C"/>
          <w:sz w:val="20"/>
          <w:szCs w:val="20"/>
        </w:rPr>
      </w:pPr>
      <w:r w:rsidRPr="00CF6F91">
        <w:rPr>
          <w:rFonts w:cstheme="minorHAnsi"/>
          <w:color w:val="2F2E2C"/>
          <w:sz w:val="20"/>
          <w:szCs w:val="20"/>
        </w:rPr>
        <w:t>La formation au maniement des armes des armes de catégorie B et D, pour les agents de protection physique des personnes, est de </w:t>
      </w:r>
      <w:r w:rsidRPr="00CF6F91">
        <w:rPr>
          <w:rFonts w:cstheme="minorHAnsi"/>
          <w:b/>
          <w:bCs/>
          <w:color w:val="2F2E2C"/>
          <w:sz w:val="20"/>
          <w:szCs w:val="20"/>
        </w:rPr>
        <w:t>156,5h</w:t>
      </w:r>
      <w:r w:rsidRPr="00CF6F91">
        <w:rPr>
          <w:rFonts w:cstheme="minorHAnsi"/>
          <w:color w:val="2F2E2C"/>
          <w:sz w:val="20"/>
          <w:szCs w:val="20"/>
        </w:rPr>
        <w:t>.</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Les arrêtés du 28/09/2019 ont conduit à la création de certifications professionnelles donnant aptitude à exercer avec une arme de catégorie D ou de catégorie B.</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b/>
          <w:bCs/>
          <w:color w:val="2F2E2C"/>
          <w:sz w:val="20"/>
          <w:szCs w:val="20"/>
        </w:rPr>
        <w:t>Afin de vérifier la validité du titre que vous souhaitez préparer, consultez, </w:t>
      </w:r>
      <w:hyperlink r:id="rId8" w:tgtFrame="_blank" w:tooltip="Visiter le site http://www.cnaps.interieur.gouv.fr/Documents-publications/Liste-des-titres-et-CQP/Liste-des-certifications-professionnelles-enregistrees-au-RNCP - nouvelle fenêtre" w:history="1">
        <w:r w:rsidRPr="00CF6F91">
          <w:rPr>
            <w:rStyle w:val="Lienhypertexte"/>
            <w:rFonts w:asciiTheme="minorHAnsi" w:hAnsiTheme="minorHAnsi" w:cstheme="minorHAnsi"/>
            <w:b/>
            <w:bCs/>
            <w:color w:val="2F2E2C"/>
            <w:sz w:val="20"/>
            <w:szCs w:val="20"/>
          </w:rPr>
          <w:t>ici </w:t>
        </w:r>
        <w:r w:rsidRPr="00CF6F91">
          <w:rPr>
            <w:rFonts w:asciiTheme="minorHAnsi" w:hAnsiTheme="minorHAnsi" w:cstheme="minorHAnsi"/>
            <w:b/>
            <w:bCs/>
            <w:noProof/>
            <w:color w:val="2F2E2C"/>
            <w:sz w:val="20"/>
            <w:szCs w:val="20"/>
          </w:rPr>
          <w:drawing>
            <wp:inline distT="0" distB="0" distL="0" distR="0">
              <wp:extent cx="98425" cy="115570"/>
              <wp:effectExtent l="0" t="0" r="0" b="0"/>
              <wp:docPr id="1" name="Image 1" descr="http://www.cnaps.interieur.gouv.fr/extension/ire/design/ire_design/images/ico-link-external.png">
                <a:hlinkClick xmlns:a="http://schemas.openxmlformats.org/drawingml/2006/main" r:id="rId8" tgtFrame="&quot;_blank&quot;" tooltip="&quot;Visiter le site http://www.cnaps.interieur.gouv.fr/Documents-publications/Liste-des-titres-et-CQP/Liste-des-certifications-professionnelles-enregistrees-au-RNCP - nouvelle fenê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naps.interieur.gouv.fr/extension/ire/design/ire_design/images/ico-link-external.png">
                        <a:hlinkClick r:id="rId8" tgtFrame="&quot;_blank&quot;" tooltip="&quot;Visiter le site http://www.cnaps.interieur.gouv.fr/Documents-publications/Liste-des-titres-et-CQP/Liste-des-certifications-professionnelles-enregistrees-au-RNCP - nouvelle fenêtr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425" cy="115570"/>
                      </a:xfrm>
                      <a:prstGeom prst="rect">
                        <a:avLst/>
                      </a:prstGeom>
                      <a:noFill/>
                      <a:ln>
                        <a:noFill/>
                      </a:ln>
                    </pic:spPr>
                  </pic:pic>
                </a:graphicData>
              </a:graphic>
            </wp:inline>
          </w:drawing>
        </w:r>
      </w:hyperlink>
      <w:r w:rsidRPr="00CF6F91">
        <w:rPr>
          <w:rFonts w:asciiTheme="minorHAnsi" w:hAnsiTheme="minorHAnsi" w:cstheme="minorHAnsi"/>
          <w:b/>
          <w:bCs/>
          <w:color w:val="2F2E2C"/>
          <w:sz w:val="20"/>
          <w:szCs w:val="20"/>
        </w:rPr>
        <w:t> , la liste des certifications professionnelles reconnues par le </w:t>
      </w:r>
      <w:hyperlink r:id="rId10" w:history="1">
        <w:r w:rsidRPr="00CF6F91">
          <w:rPr>
            <w:rStyle w:val="Lienhypertexte"/>
            <w:rFonts w:asciiTheme="minorHAnsi" w:hAnsiTheme="minorHAnsi" w:cstheme="minorHAnsi"/>
            <w:b/>
            <w:bCs/>
            <w:color w:val="2F2E2C"/>
            <w:sz w:val="20"/>
            <w:szCs w:val="20"/>
          </w:rPr>
          <w:t>CNAPS</w:t>
        </w:r>
      </w:hyperlink>
      <w:r w:rsidRPr="00CF6F91">
        <w:rPr>
          <w:rFonts w:asciiTheme="minorHAnsi" w:hAnsiTheme="minorHAnsi" w:cstheme="minorHAnsi"/>
          <w:b/>
          <w:bCs/>
          <w:color w:val="2F2E2C"/>
          <w:sz w:val="20"/>
          <w:szCs w:val="20"/>
        </w:rPr>
        <w:t>.</w:t>
      </w:r>
    </w:p>
    <w:p w:rsidR="00CF6F91" w:rsidRPr="00CF6F91" w:rsidRDefault="00CF6F91" w:rsidP="00CF6F91">
      <w:pPr>
        <w:shd w:val="clear" w:color="auto" w:fill="F2F1F0"/>
        <w:spacing w:after="319"/>
        <w:jc w:val="center"/>
        <w:textAlignment w:val="top"/>
        <w:rPr>
          <w:rFonts w:cstheme="minorHAnsi"/>
          <w:color w:val="2F2E2C"/>
          <w:sz w:val="20"/>
          <w:szCs w:val="20"/>
        </w:rPr>
      </w:pPr>
      <w:r w:rsidRPr="00CF6F91">
        <w:rPr>
          <w:rFonts w:cstheme="minorHAnsi"/>
          <w:color w:val="2F2E2C"/>
          <w:sz w:val="20"/>
          <w:szCs w:val="20"/>
        </w:rPr>
        <w:t>Tout agent souhaitant se former au maniement des armes de catégorie B devra solliciter une autorisation préalable d’entrée en formation et ce, même s’il détient une carte professionnelle en cours de validité.</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Le fichier national des personnes interdites d’acquisition et de détention d’armes (FINIADA) sera consulté, en sus des fichiers déjà interrogés dans le cadre de l’enquête administrative conduite par le CNAPS.</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             </w:t>
      </w:r>
    </w:p>
    <w:p w:rsidR="00CF6F91" w:rsidRPr="00CF6F91" w:rsidRDefault="00CF6F91" w:rsidP="00CF6F91">
      <w:pPr>
        <w:pStyle w:val="Titre2"/>
        <w:shd w:val="clear" w:color="auto" w:fill="FFFFFF"/>
        <w:spacing w:before="384" w:after="180"/>
        <w:rPr>
          <w:rFonts w:asciiTheme="minorHAnsi" w:hAnsiTheme="minorHAnsi" w:cstheme="minorHAnsi"/>
          <w:color w:val="4B6A89"/>
          <w:sz w:val="28"/>
          <w:szCs w:val="28"/>
        </w:rPr>
      </w:pPr>
      <w:bookmarkStart w:id="2" w:name="eztoc34060_4"/>
      <w:bookmarkEnd w:id="2"/>
      <w:r w:rsidRPr="00CF6F91">
        <w:rPr>
          <w:rFonts w:asciiTheme="minorHAnsi" w:hAnsiTheme="minorHAnsi" w:cstheme="minorHAnsi"/>
          <w:b/>
          <w:bCs/>
          <w:color w:val="4B6A89"/>
          <w:sz w:val="28"/>
          <w:szCs w:val="28"/>
        </w:rPr>
        <w:t>Des entraînements réguliers obligatoires</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Les agents titulaires d’une carte permettant l’exercice d’activité armée sont soumis au suivi d’entrainements annuels réguliers : 2 séances de 7 heures pour les armes de la catégorie D et 4 séances d’1 heure pour les armes de la catégorie B.</w:t>
      </w:r>
    </w:p>
    <w:p w:rsidR="00CF6F91" w:rsidRPr="00CF6F91" w:rsidRDefault="00CF6F91" w:rsidP="00CF6F91">
      <w:pPr>
        <w:pStyle w:val="NormalWeb"/>
        <w:shd w:val="clear" w:color="auto" w:fill="FFFFFF"/>
        <w:spacing w:before="0" w:beforeAutospacing="0" w:after="319" w:afterAutospacing="0"/>
        <w:rPr>
          <w:rFonts w:asciiTheme="minorHAnsi" w:hAnsiTheme="minorHAnsi" w:cstheme="minorHAnsi"/>
          <w:color w:val="2F2E2C"/>
          <w:sz w:val="20"/>
          <w:szCs w:val="20"/>
        </w:rPr>
      </w:pPr>
      <w:r w:rsidRPr="00CF6F91">
        <w:rPr>
          <w:rFonts w:asciiTheme="minorHAnsi" w:hAnsiTheme="minorHAnsi" w:cstheme="minorHAnsi"/>
          <w:color w:val="2F2E2C"/>
          <w:sz w:val="20"/>
          <w:szCs w:val="20"/>
        </w:rPr>
        <w:t>Le suivi de ces entraînements et du stage de maintien et d’actualisation des compétences (</w:t>
      </w:r>
      <w:hyperlink r:id="rId11" w:history="1">
        <w:r w:rsidRPr="00CF6F91">
          <w:rPr>
            <w:rStyle w:val="Lienhypertexte"/>
            <w:rFonts w:asciiTheme="minorHAnsi" w:hAnsiTheme="minorHAnsi" w:cstheme="minorHAnsi"/>
            <w:color w:val="2F2E2C"/>
            <w:sz w:val="20"/>
            <w:szCs w:val="20"/>
          </w:rPr>
          <w:t>MAC</w:t>
        </w:r>
      </w:hyperlink>
      <w:r w:rsidRPr="00CF6F91">
        <w:rPr>
          <w:rFonts w:asciiTheme="minorHAnsi" w:hAnsiTheme="minorHAnsi" w:cstheme="minorHAnsi"/>
          <w:color w:val="2F2E2C"/>
          <w:sz w:val="20"/>
          <w:szCs w:val="20"/>
        </w:rPr>
        <w:t>) conditionnera le renouvellement de la carte professionnelle.</w:t>
      </w:r>
    </w:p>
    <w:p w:rsidR="00CF6F91" w:rsidRPr="00CF6F91" w:rsidRDefault="00CF6F91" w:rsidP="00CF6F91">
      <w:pPr>
        <w:shd w:val="clear" w:color="auto" w:fill="FFFFFF"/>
        <w:spacing w:after="319"/>
        <w:jc w:val="center"/>
        <w:rPr>
          <w:rFonts w:cstheme="minorHAnsi"/>
          <w:color w:val="2F2E2C"/>
          <w:sz w:val="20"/>
          <w:szCs w:val="20"/>
        </w:rPr>
      </w:pPr>
      <w:r w:rsidRPr="00CF6F91">
        <w:rPr>
          <w:rFonts w:cstheme="minorHAnsi"/>
          <w:color w:val="2F2E2C"/>
          <w:sz w:val="20"/>
          <w:szCs w:val="20"/>
        </w:rPr>
        <w:t>         </w:t>
      </w:r>
    </w:p>
    <w:p w:rsidR="00CF6F91" w:rsidRDefault="00CF6F91" w:rsidP="00CF6F91">
      <w:pPr>
        <w:jc w:val="center"/>
      </w:pPr>
    </w:p>
    <w:p w:rsidR="00CF6F91" w:rsidRPr="002C48B7" w:rsidRDefault="00CF6F91" w:rsidP="00CF6F91">
      <w:pPr>
        <w:jc w:val="center"/>
        <w:rPr>
          <w:u w:val="single"/>
        </w:rPr>
      </w:pPr>
      <w:r w:rsidRPr="002C48B7">
        <w:rPr>
          <w:u w:val="single"/>
        </w:rPr>
        <w:t>Patrick ROSET Secrétaire général du SNAPPP</w:t>
      </w:r>
    </w:p>
    <w:p w:rsidR="00CF6F91" w:rsidRPr="00CF6F91" w:rsidRDefault="00CF6F91">
      <w:pPr>
        <w:rPr>
          <w:rFonts w:cstheme="minorHAnsi"/>
          <w:sz w:val="20"/>
          <w:szCs w:val="20"/>
        </w:rPr>
      </w:pPr>
      <w:bookmarkStart w:id="3" w:name="_GoBack"/>
      <w:bookmarkEnd w:id="3"/>
    </w:p>
    <w:sectPr w:rsidR="00CF6F91" w:rsidRPr="00CF6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860AA"/>
    <w:multiLevelType w:val="multilevel"/>
    <w:tmpl w:val="424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91"/>
    <w:rsid w:val="007D1909"/>
    <w:rsid w:val="00CF6F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4CA6E-2F09-44F6-B30C-A8C3FAD3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F6F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F6F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6F9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CF6F9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CF6F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F6F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80764">
      <w:bodyDiv w:val="1"/>
      <w:marLeft w:val="0"/>
      <w:marRight w:val="0"/>
      <w:marTop w:val="0"/>
      <w:marBottom w:val="0"/>
      <w:divBdr>
        <w:top w:val="none" w:sz="0" w:space="0" w:color="auto"/>
        <w:left w:val="none" w:sz="0" w:space="0" w:color="auto"/>
        <w:bottom w:val="none" w:sz="0" w:space="0" w:color="auto"/>
        <w:right w:val="none" w:sz="0" w:space="0" w:color="auto"/>
      </w:divBdr>
      <w:divsChild>
        <w:div w:id="114296252">
          <w:marLeft w:val="0"/>
          <w:marRight w:val="0"/>
          <w:marTop w:val="0"/>
          <w:marBottom w:val="319"/>
          <w:divBdr>
            <w:top w:val="single" w:sz="6" w:space="15" w:color="C3C3C3"/>
            <w:left w:val="single" w:sz="6" w:space="15" w:color="C3C3C3"/>
            <w:bottom w:val="single" w:sz="6" w:space="0" w:color="C3C3C3"/>
            <w:right w:val="single" w:sz="6" w:space="0" w:color="C3C3C3"/>
          </w:divBdr>
          <w:divsChild>
            <w:div w:id="39021165">
              <w:marLeft w:val="0"/>
              <w:marRight w:val="0"/>
              <w:marTop w:val="0"/>
              <w:marBottom w:val="0"/>
              <w:divBdr>
                <w:top w:val="none" w:sz="0" w:space="0" w:color="auto"/>
                <w:left w:val="none" w:sz="0" w:space="0" w:color="auto"/>
                <w:bottom w:val="none" w:sz="0" w:space="0" w:color="auto"/>
                <w:right w:val="none" w:sz="0" w:space="0" w:color="auto"/>
              </w:divBdr>
            </w:div>
          </w:divsChild>
        </w:div>
        <w:div w:id="1616474129">
          <w:marLeft w:val="0"/>
          <w:marRight w:val="0"/>
          <w:marTop w:val="0"/>
          <w:marBottom w:val="319"/>
          <w:divBdr>
            <w:top w:val="single" w:sz="6" w:space="15" w:color="C3C3C3"/>
            <w:left w:val="single" w:sz="6" w:space="15" w:color="C3C3C3"/>
            <w:bottom w:val="single" w:sz="6" w:space="0" w:color="C3C3C3"/>
            <w:right w:val="single" w:sz="6" w:space="0" w:color="C3C3C3"/>
          </w:divBdr>
          <w:divsChild>
            <w:div w:id="228074070">
              <w:marLeft w:val="0"/>
              <w:marRight w:val="0"/>
              <w:marTop w:val="0"/>
              <w:marBottom w:val="0"/>
              <w:divBdr>
                <w:top w:val="none" w:sz="0" w:space="0" w:color="auto"/>
                <w:left w:val="none" w:sz="0" w:space="0" w:color="auto"/>
                <w:bottom w:val="none" w:sz="0" w:space="0" w:color="auto"/>
                <w:right w:val="none" w:sz="0" w:space="0" w:color="auto"/>
              </w:divBdr>
            </w:div>
          </w:divsChild>
        </w:div>
        <w:div w:id="771632019">
          <w:marLeft w:val="0"/>
          <w:marRight w:val="0"/>
          <w:marTop w:val="0"/>
          <w:marBottom w:val="319"/>
          <w:divBdr>
            <w:top w:val="single" w:sz="6" w:space="15" w:color="C3C3C3"/>
            <w:left w:val="single" w:sz="6" w:space="15" w:color="C3C3C3"/>
            <w:bottom w:val="single" w:sz="6" w:space="0" w:color="C3C3C3"/>
            <w:right w:val="single" w:sz="6" w:space="0" w:color="C3C3C3"/>
          </w:divBdr>
          <w:divsChild>
            <w:div w:id="1611428720">
              <w:marLeft w:val="0"/>
              <w:marRight w:val="0"/>
              <w:marTop w:val="0"/>
              <w:marBottom w:val="0"/>
              <w:divBdr>
                <w:top w:val="none" w:sz="0" w:space="0" w:color="auto"/>
                <w:left w:val="none" w:sz="0" w:space="0" w:color="auto"/>
                <w:bottom w:val="none" w:sz="0" w:space="0" w:color="auto"/>
                <w:right w:val="none" w:sz="0" w:space="0" w:color="auto"/>
              </w:divBdr>
            </w:div>
          </w:divsChild>
        </w:div>
        <w:div w:id="1936546708">
          <w:marLeft w:val="0"/>
          <w:marRight w:val="0"/>
          <w:marTop w:val="0"/>
          <w:marBottom w:val="319"/>
          <w:divBdr>
            <w:top w:val="single" w:sz="6" w:space="15" w:color="C3C3C3"/>
            <w:left w:val="single" w:sz="6" w:space="15" w:color="C3C3C3"/>
            <w:bottom w:val="single" w:sz="6" w:space="0" w:color="C3C3C3"/>
            <w:right w:val="single" w:sz="6" w:space="0" w:color="C3C3C3"/>
          </w:divBdr>
          <w:divsChild>
            <w:div w:id="20838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aps.interieur.gouv.fr/Documents-publications/Liste-des-titres-et-CQP/Liste-des-certifications-professionnelles-enregistrees-au-RNC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naps.interieur.gouv.fr/Outils/Glossaire/(namefilter)/CNA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aps.interieur.gouv.fr/Outils/Glossaire/(namefilter)/CNAPS" TargetMode="External"/><Relationship Id="rId11" Type="http://schemas.openxmlformats.org/officeDocument/2006/relationships/hyperlink" Target="http://www.cnaps.interieur.gouv.fr/Outils/Glossaire/(namefilter)/MAC" TargetMode="External"/><Relationship Id="rId5" Type="http://schemas.openxmlformats.org/officeDocument/2006/relationships/image" Target="media/image1.jpeg"/><Relationship Id="rId10" Type="http://schemas.openxmlformats.org/officeDocument/2006/relationships/hyperlink" Target="http://www.cnaps.interieur.gouv.fr/Outils/Glossaire/(namefilter)/CNAP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3694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djazz Reda</dc:creator>
  <cp:keywords/>
  <dc:description/>
  <cp:lastModifiedBy>djazz Reda</cp:lastModifiedBy>
  <cp:revision>1</cp:revision>
  <dcterms:created xsi:type="dcterms:W3CDTF">2022-02-08T09:10:00Z</dcterms:created>
  <dcterms:modified xsi:type="dcterms:W3CDTF">2022-02-08T09:16:00Z</dcterms:modified>
</cp:coreProperties>
</file>